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D" w:rsidRDefault="0087402D" w:rsidP="0087402D">
      <w:pPr>
        <w:pStyle w:val="Pa4"/>
        <w:spacing w:after="720"/>
        <w:rPr>
          <w:rFonts w:ascii="GillSans Light" w:hAnsi="GillSans Light" w:cs="GillSans Light"/>
          <w:color w:val="000000"/>
          <w:sz w:val="50"/>
          <w:szCs w:val="50"/>
        </w:rPr>
      </w:pPr>
      <w:r>
        <w:rPr>
          <w:rFonts w:cs="GillSans"/>
          <w:color w:val="000000"/>
          <w:sz w:val="50"/>
          <w:szCs w:val="50"/>
        </w:rPr>
        <w:t xml:space="preserve">CONCEPT 1.3 </w:t>
      </w:r>
      <w:r>
        <w:rPr>
          <w:rFonts w:ascii="GillSans Light" w:hAnsi="GillSans Light" w:cs="GillSans Light"/>
          <w:color w:val="000000"/>
          <w:sz w:val="50"/>
          <w:szCs w:val="50"/>
        </w:rPr>
        <w:t xml:space="preserve">COMMUNICATING AND MANAGING CONFLICT </w:t>
      </w:r>
    </w:p>
    <w:p w:rsidR="0087402D" w:rsidRDefault="0087402D" w:rsidP="0087402D">
      <w:pPr>
        <w:pStyle w:val="Pa8"/>
        <w:spacing w:before="220" w:after="160"/>
        <w:rPr>
          <w:rFonts w:ascii="Gill Sans MT" w:hAnsi="Gill Sans MT" w:cs="Gill Sans MT"/>
          <w:color w:val="000000"/>
          <w:sz w:val="32"/>
          <w:szCs w:val="32"/>
        </w:rPr>
      </w:pPr>
      <w:r>
        <w:rPr>
          <w:rFonts w:ascii="Gill Sans MT" w:hAnsi="Gill Sans MT" w:cs="Gill Sans MT"/>
          <w:color w:val="000000"/>
          <w:sz w:val="32"/>
          <w:szCs w:val="32"/>
        </w:rPr>
        <w:t xml:space="preserve">FOCUS QUESTION: HOW CAN I MANAGE CONFLICTS AND END RELATIONSHIPS IN A RESPECTFUL WAY?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87402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12" w:type="dxa"/>
          </w:tcPr>
          <w:p w:rsidR="0087402D" w:rsidRDefault="0087402D">
            <w:pPr>
              <w:pStyle w:val="Pa0"/>
              <w:rPr>
                <w:rFonts w:ascii="Gill Sans" w:hAnsi="Gill Sans" w:cs="Gill Sans"/>
                <w:color w:val="000000"/>
                <w:sz w:val="32"/>
                <w:szCs w:val="32"/>
              </w:rPr>
            </w:pPr>
            <w:r>
              <w:rPr>
                <w:rStyle w:val="A17"/>
              </w:rPr>
              <w:t xml:space="preserve">* </w:t>
            </w:r>
          </w:p>
        </w:tc>
        <w:tc>
          <w:tcPr>
            <w:tcW w:w="3212" w:type="dxa"/>
          </w:tcPr>
          <w:p w:rsidR="0087402D" w:rsidRDefault="0087402D">
            <w:pPr>
              <w:pStyle w:val="Pa9"/>
              <w:spacing w:before="220" w:after="160"/>
              <w:rPr>
                <w:rFonts w:ascii="GillSans Light" w:hAnsi="GillSans Light" w:cs="GillSans Light"/>
                <w:color w:val="000000"/>
                <w:sz w:val="34"/>
                <w:szCs w:val="34"/>
              </w:rPr>
            </w:pPr>
            <w:r>
              <w:rPr>
                <w:rFonts w:ascii="GillSans Light" w:hAnsi="GillSans Light" w:cs="GillSans Light"/>
                <w:i/>
                <w:iCs/>
                <w:color w:val="000000"/>
                <w:sz w:val="34"/>
                <w:szCs w:val="34"/>
              </w:rPr>
              <w:t xml:space="preserve">Activity overview </w:t>
            </w:r>
          </w:p>
        </w:tc>
        <w:tc>
          <w:tcPr>
            <w:tcW w:w="3212" w:type="dxa"/>
          </w:tcPr>
          <w:p w:rsidR="0087402D" w:rsidRDefault="0087402D">
            <w:pPr>
              <w:pStyle w:val="Pa3"/>
              <w:spacing w:after="100"/>
              <w:rPr>
                <w:rFonts w:ascii="GillSans Light" w:hAnsi="GillSans Light" w:cs="GillSans Light"/>
                <w:color w:val="000000"/>
                <w:sz w:val="22"/>
                <w:szCs w:val="22"/>
              </w:rPr>
            </w:pPr>
            <w:r>
              <w:rPr>
                <w:rFonts w:ascii="GillSans Light" w:hAnsi="GillSans Light" w:cs="GillSans Light"/>
                <w:color w:val="000000"/>
                <w:sz w:val="22"/>
                <w:szCs w:val="22"/>
              </w:rPr>
              <w:t xml:space="preserve">Learners explore a range of conflicts that are common for young people and propose practical strategies for resolving conflicts respectfully </w:t>
            </w:r>
          </w:p>
        </w:tc>
      </w:tr>
      <w:tr w:rsidR="0087402D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3212" w:type="dxa"/>
          </w:tcPr>
          <w:p w:rsidR="0087402D" w:rsidRDefault="0087402D">
            <w:pPr>
              <w:pStyle w:val="Pa0"/>
              <w:rPr>
                <w:rFonts w:ascii="Gill Sans" w:hAnsi="Gill Sans" w:cs="Gill Sans"/>
                <w:color w:val="000000"/>
                <w:sz w:val="32"/>
                <w:szCs w:val="32"/>
              </w:rPr>
            </w:pPr>
            <w:r>
              <w:rPr>
                <w:rStyle w:val="A17"/>
              </w:rPr>
              <w:t xml:space="preserve">* </w:t>
            </w:r>
          </w:p>
        </w:tc>
        <w:tc>
          <w:tcPr>
            <w:tcW w:w="3212" w:type="dxa"/>
          </w:tcPr>
          <w:p w:rsidR="0087402D" w:rsidRDefault="0087402D">
            <w:pPr>
              <w:pStyle w:val="Pa9"/>
              <w:spacing w:before="220" w:after="160"/>
              <w:rPr>
                <w:rFonts w:ascii="GillSans Light" w:hAnsi="GillSans Light" w:cs="GillSans Light"/>
                <w:color w:val="000000"/>
                <w:sz w:val="34"/>
                <w:szCs w:val="34"/>
              </w:rPr>
            </w:pPr>
            <w:r>
              <w:rPr>
                <w:rFonts w:ascii="GillSans Light" w:hAnsi="GillSans Light" w:cs="GillSans Light"/>
                <w:i/>
                <w:iCs/>
                <w:color w:val="000000"/>
                <w:sz w:val="34"/>
                <w:szCs w:val="34"/>
              </w:rPr>
              <w:t xml:space="preserve">Relevant curriculum links </w:t>
            </w:r>
          </w:p>
        </w:tc>
        <w:tc>
          <w:tcPr>
            <w:tcW w:w="3212" w:type="dxa"/>
          </w:tcPr>
          <w:p w:rsidR="0087402D" w:rsidRDefault="0087402D">
            <w:pPr>
              <w:pStyle w:val="Pa9"/>
              <w:spacing w:before="220" w:after="160"/>
              <w:rPr>
                <w:rFonts w:ascii="GillSans Light" w:hAnsi="GillSans Light" w:cs="GillSans Light"/>
                <w:color w:val="000000"/>
                <w:sz w:val="34"/>
                <w:szCs w:val="34"/>
              </w:rPr>
            </w:pPr>
            <w:r>
              <w:rPr>
                <w:rFonts w:ascii="GillSans Light" w:hAnsi="GillSans Light" w:cs="GillSans Light"/>
                <w:i/>
                <w:iCs/>
                <w:color w:val="000000"/>
                <w:sz w:val="34"/>
                <w:szCs w:val="34"/>
              </w:rPr>
              <w:t xml:space="preserve">My Education </w:t>
            </w:r>
          </w:p>
          <w:p w:rsidR="0087402D" w:rsidRDefault="0087402D">
            <w:pPr>
              <w:pStyle w:val="Pa3"/>
              <w:spacing w:before="220" w:after="100"/>
              <w:rPr>
                <w:rFonts w:ascii="GillSans Light" w:hAnsi="GillSans Light" w:cs="GillSans Light"/>
                <w:color w:val="000000"/>
                <w:sz w:val="22"/>
                <w:szCs w:val="22"/>
              </w:rPr>
            </w:pPr>
            <w:r>
              <w:rPr>
                <w:rFonts w:ascii="GillSans Light" w:hAnsi="GillSans Light" w:cs="GillSans Light"/>
                <w:color w:val="000000"/>
                <w:sz w:val="22"/>
                <w:szCs w:val="22"/>
              </w:rPr>
              <w:t xml:space="preserve">Recognise and utilise diverse perspectives – </w:t>
            </w:r>
            <w:proofErr w:type="spellStart"/>
            <w:r>
              <w:rPr>
                <w:rFonts w:ascii="GillSans Light" w:hAnsi="GillSans Light" w:cs="GillSans Light"/>
                <w:color w:val="000000"/>
                <w:sz w:val="22"/>
                <w:szCs w:val="22"/>
              </w:rPr>
              <w:t>Yr</w:t>
            </w:r>
            <w:proofErr w:type="spellEnd"/>
            <w:r>
              <w:rPr>
                <w:rFonts w:ascii="GillSans Light" w:hAnsi="GillSans Light" w:cs="GillSans Light"/>
                <w:color w:val="000000"/>
                <w:sz w:val="22"/>
                <w:szCs w:val="22"/>
              </w:rPr>
              <w:t xml:space="preserve"> 12 </w:t>
            </w:r>
          </w:p>
          <w:p w:rsidR="0087402D" w:rsidRDefault="0087402D">
            <w:pPr>
              <w:pStyle w:val="Pa9"/>
              <w:spacing w:before="220" w:after="160"/>
              <w:rPr>
                <w:rFonts w:ascii="GillSans Light" w:hAnsi="GillSans Light" w:cs="GillSans Light"/>
                <w:color w:val="000000"/>
                <w:sz w:val="34"/>
                <w:szCs w:val="34"/>
              </w:rPr>
            </w:pPr>
            <w:r>
              <w:rPr>
                <w:rFonts w:ascii="GillSans Light" w:hAnsi="GillSans Light" w:cs="GillSans Light"/>
                <w:i/>
                <w:iCs/>
                <w:color w:val="000000"/>
                <w:sz w:val="34"/>
                <w:szCs w:val="34"/>
              </w:rPr>
              <w:t xml:space="preserve">Personal Pathways Planning </w:t>
            </w:r>
          </w:p>
          <w:p w:rsidR="0087402D" w:rsidRDefault="0087402D">
            <w:pPr>
              <w:pStyle w:val="Pa30"/>
              <w:spacing w:before="220" w:after="100"/>
              <w:rPr>
                <w:rFonts w:ascii="GillSans Light" w:hAnsi="GillSans Light" w:cs="GillSans Light"/>
                <w:color w:val="000000"/>
                <w:sz w:val="28"/>
                <w:szCs w:val="28"/>
              </w:rPr>
            </w:pPr>
            <w:r>
              <w:rPr>
                <w:rFonts w:ascii="GillSans Light" w:hAnsi="GillSans Light" w:cs="GillSans Light"/>
                <w:color w:val="000000"/>
                <w:sz w:val="28"/>
                <w:szCs w:val="28"/>
              </w:rPr>
              <w:t xml:space="preserve">Relationships, Responsibility </w:t>
            </w:r>
          </w:p>
          <w:p w:rsidR="0087402D" w:rsidRDefault="0087402D">
            <w:pPr>
              <w:pStyle w:val="Pa3"/>
              <w:spacing w:before="220" w:after="100"/>
              <w:rPr>
                <w:rFonts w:ascii="GillSans Light" w:hAnsi="GillSans Light" w:cs="GillSans Light"/>
                <w:color w:val="000000"/>
                <w:sz w:val="22"/>
                <w:szCs w:val="22"/>
              </w:rPr>
            </w:pPr>
            <w:r>
              <w:rPr>
                <w:rFonts w:ascii="GillSans Light" w:hAnsi="GillSans Light" w:cs="GillSans Light"/>
                <w:color w:val="000000"/>
                <w:sz w:val="22"/>
                <w:szCs w:val="22"/>
              </w:rPr>
              <w:t xml:space="preserve">Understand the dynamics of positive relationships </w:t>
            </w:r>
          </w:p>
          <w:p w:rsidR="0087402D" w:rsidRDefault="0087402D">
            <w:pPr>
              <w:pStyle w:val="Pa3"/>
              <w:spacing w:before="220" w:after="100"/>
              <w:rPr>
                <w:rFonts w:ascii="GillSans Light" w:hAnsi="GillSans Light" w:cs="GillSans Light"/>
                <w:color w:val="000000"/>
                <w:sz w:val="22"/>
                <w:szCs w:val="22"/>
              </w:rPr>
            </w:pPr>
            <w:r>
              <w:rPr>
                <w:rFonts w:ascii="GillSans Light" w:hAnsi="GillSans Light" w:cs="GillSans Light"/>
                <w:color w:val="000000"/>
                <w:sz w:val="22"/>
                <w:szCs w:val="22"/>
              </w:rPr>
              <w:t xml:space="preserve">Communicate effectively </w:t>
            </w:r>
          </w:p>
          <w:p w:rsidR="0087402D" w:rsidRDefault="0087402D">
            <w:pPr>
              <w:pStyle w:val="Pa3"/>
              <w:spacing w:before="220" w:after="100"/>
              <w:rPr>
                <w:rFonts w:ascii="GillSans Light" w:hAnsi="GillSans Light" w:cs="GillSans Light"/>
                <w:color w:val="000000"/>
                <w:sz w:val="22"/>
                <w:szCs w:val="22"/>
              </w:rPr>
            </w:pPr>
            <w:r>
              <w:rPr>
                <w:rFonts w:ascii="GillSans Light" w:hAnsi="GillSans Light" w:cs="GillSans Light"/>
                <w:color w:val="000000"/>
                <w:sz w:val="22"/>
                <w:szCs w:val="22"/>
              </w:rPr>
              <w:t xml:space="preserve">Understand their legal rights and responsibilities </w:t>
            </w:r>
          </w:p>
          <w:p w:rsidR="0087402D" w:rsidRDefault="0087402D">
            <w:pPr>
              <w:pStyle w:val="Pa3"/>
              <w:spacing w:before="220" w:after="100"/>
              <w:rPr>
                <w:rFonts w:ascii="GillSans Light" w:hAnsi="GillSans Light" w:cs="GillSans Light"/>
                <w:color w:val="000000"/>
                <w:sz w:val="22"/>
                <w:szCs w:val="22"/>
              </w:rPr>
            </w:pPr>
            <w:r>
              <w:rPr>
                <w:rFonts w:ascii="GillSans Light" w:hAnsi="GillSans Light" w:cs="GillSans Light"/>
                <w:color w:val="000000"/>
                <w:sz w:val="22"/>
                <w:szCs w:val="22"/>
              </w:rPr>
              <w:t>Understand relevant moral, legal and ethical frameworks</w:t>
            </w:r>
          </w:p>
        </w:tc>
      </w:tr>
    </w:tbl>
    <w:p w:rsidR="005F0F9D" w:rsidRDefault="005F0F9D">
      <w:bookmarkStart w:id="0" w:name="_GoBack"/>
      <w:bookmarkEnd w:id="0"/>
    </w:p>
    <w:sectPr w:rsidR="005F0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D"/>
    <w:rsid w:val="005F0F9D"/>
    <w:rsid w:val="008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87402D"/>
    <w:pPr>
      <w:autoSpaceDE w:val="0"/>
      <w:autoSpaceDN w:val="0"/>
      <w:adjustRightInd w:val="0"/>
      <w:spacing w:after="0" w:line="501" w:lineRule="atLeast"/>
    </w:pPr>
    <w:rPr>
      <w:rFonts w:ascii="GillSans" w:hAnsi="GillSans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87402D"/>
    <w:pPr>
      <w:autoSpaceDE w:val="0"/>
      <w:autoSpaceDN w:val="0"/>
      <w:adjustRightInd w:val="0"/>
      <w:spacing w:after="0" w:line="321" w:lineRule="atLeast"/>
    </w:pPr>
    <w:rPr>
      <w:rFonts w:ascii="GillSans" w:hAnsi="GillSans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7402D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character" w:customStyle="1" w:styleId="A17">
    <w:name w:val="A17"/>
    <w:uiPriority w:val="99"/>
    <w:rsid w:val="0087402D"/>
    <w:rPr>
      <w:rFonts w:ascii="Gill Sans" w:hAnsi="Gill Sans" w:cs="Gill Sans"/>
      <w:b/>
      <w:bCs/>
      <w:color w:val="000000"/>
      <w:sz w:val="32"/>
      <w:szCs w:val="32"/>
    </w:rPr>
  </w:style>
  <w:style w:type="paragraph" w:customStyle="1" w:styleId="Pa9">
    <w:name w:val="Pa9"/>
    <w:basedOn w:val="Normal"/>
    <w:next w:val="Normal"/>
    <w:uiPriority w:val="99"/>
    <w:rsid w:val="0087402D"/>
    <w:pPr>
      <w:autoSpaceDE w:val="0"/>
      <w:autoSpaceDN w:val="0"/>
      <w:adjustRightInd w:val="0"/>
      <w:spacing w:after="0" w:line="341" w:lineRule="atLeast"/>
    </w:pPr>
    <w:rPr>
      <w:rFonts w:ascii="GillSans" w:hAnsi="GillSans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7402D"/>
    <w:pPr>
      <w:autoSpaceDE w:val="0"/>
      <w:autoSpaceDN w:val="0"/>
      <w:adjustRightInd w:val="0"/>
      <w:spacing w:after="0" w:line="221" w:lineRule="atLeast"/>
    </w:pPr>
    <w:rPr>
      <w:rFonts w:ascii="GillSans" w:hAnsi="GillSans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87402D"/>
    <w:pPr>
      <w:autoSpaceDE w:val="0"/>
      <w:autoSpaceDN w:val="0"/>
      <w:adjustRightInd w:val="0"/>
      <w:spacing w:after="0" w:line="281" w:lineRule="atLeast"/>
    </w:pPr>
    <w:rPr>
      <w:rFonts w:ascii="GillSans" w:hAnsi="Gill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87402D"/>
    <w:pPr>
      <w:autoSpaceDE w:val="0"/>
      <w:autoSpaceDN w:val="0"/>
      <w:adjustRightInd w:val="0"/>
      <w:spacing w:after="0" w:line="501" w:lineRule="atLeast"/>
    </w:pPr>
    <w:rPr>
      <w:rFonts w:ascii="GillSans" w:hAnsi="GillSans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87402D"/>
    <w:pPr>
      <w:autoSpaceDE w:val="0"/>
      <w:autoSpaceDN w:val="0"/>
      <w:adjustRightInd w:val="0"/>
      <w:spacing w:after="0" w:line="321" w:lineRule="atLeast"/>
    </w:pPr>
    <w:rPr>
      <w:rFonts w:ascii="GillSans" w:hAnsi="GillSans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7402D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character" w:customStyle="1" w:styleId="A17">
    <w:name w:val="A17"/>
    <w:uiPriority w:val="99"/>
    <w:rsid w:val="0087402D"/>
    <w:rPr>
      <w:rFonts w:ascii="Gill Sans" w:hAnsi="Gill Sans" w:cs="Gill Sans"/>
      <w:b/>
      <w:bCs/>
      <w:color w:val="000000"/>
      <w:sz w:val="32"/>
      <w:szCs w:val="32"/>
    </w:rPr>
  </w:style>
  <w:style w:type="paragraph" w:customStyle="1" w:styleId="Pa9">
    <w:name w:val="Pa9"/>
    <w:basedOn w:val="Normal"/>
    <w:next w:val="Normal"/>
    <w:uiPriority w:val="99"/>
    <w:rsid w:val="0087402D"/>
    <w:pPr>
      <w:autoSpaceDE w:val="0"/>
      <w:autoSpaceDN w:val="0"/>
      <w:adjustRightInd w:val="0"/>
      <w:spacing w:after="0" w:line="341" w:lineRule="atLeast"/>
    </w:pPr>
    <w:rPr>
      <w:rFonts w:ascii="GillSans" w:hAnsi="GillSans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7402D"/>
    <w:pPr>
      <w:autoSpaceDE w:val="0"/>
      <w:autoSpaceDN w:val="0"/>
      <w:adjustRightInd w:val="0"/>
      <w:spacing w:after="0" w:line="221" w:lineRule="atLeast"/>
    </w:pPr>
    <w:rPr>
      <w:rFonts w:ascii="GillSans" w:hAnsi="GillSans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87402D"/>
    <w:pPr>
      <w:autoSpaceDE w:val="0"/>
      <w:autoSpaceDN w:val="0"/>
      <w:adjustRightInd w:val="0"/>
      <w:spacing w:after="0" w:line="281" w:lineRule="atLeast"/>
    </w:pPr>
    <w:rPr>
      <w:rFonts w:ascii="GillSans" w:hAnsi="Gill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Shafi</dc:creator>
  <cp:lastModifiedBy>Anisa Shafi</cp:lastModifiedBy>
  <cp:revision>1</cp:revision>
  <dcterms:created xsi:type="dcterms:W3CDTF">2020-01-03T21:16:00Z</dcterms:created>
  <dcterms:modified xsi:type="dcterms:W3CDTF">2020-01-03T21:17:00Z</dcterms:modified>
</cp:coreProperties>
</file>